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5DCEAF"/>
  <w:body>
    <w:p w:rsidR="00000000" w:rsidDel="00000000" w:rsidP="00000000" w:rsidRDefault="00000000" w:rsidRPr="00000000" w14:paraId="00000001">
      <w:pPr>
        <w:shd w:fill="9de1ce" w:val="clear"/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5030.0" w:type="dxa"/>
        <w:jc w:val="left"/>
        <w:tblInd w:w="-9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150"/>
        <w:gridCol w:w="840"/>
        <w:gridCol w:w="975"/>
        <w:gridCol w:w="2550"/>
        <w:gridCol w:w="1650"/>
        <w:gridCol w:w="1875"/>
        <w:gridCol w:w="1440"/>
        <w:gridCol w:w="1215"/>
        <w:gridCol w:w="1365"/>
        <w:gridCol w:w="2085"/>
        <w:tblGridChange w:id="0">
          <w:tblGrid>
            <w:gridCol w:w="885"/>
            <w:gridCol w:w="150"/>
            <w:gridCol w:w="840"/>
            <w:gridCol w:w="975"/>
            <w:gridCol w:w="2550"/>
            <w:gridCol w:w="1650"/>
            <w:gridCol w:w="1875"/>
            <w:gridCol w:w="1440"/>
            <w:gridCol w:w="1215"/>
            <w:gridCol w:w="1365"/>
            <w:gridCol w:w="2085"/>
          </w:tblGrid>
        </w:tblGridChange>
      </w:tblGrid>
      <w:tr>
        <w:trPr>
          <w:cantSplit w:val="0"/>
          <w:tblHeader w:val="0"/>
        </w:trPr>
        <w:tc>
          <w:tcPr>
            <w:shd w:fill="181d33" w:val="clear"/>
          </w:tcPr>
          <w:p w:rsidR="00000000" w:rsidDel="00000000" w:rsidP="00000000" w:rsidRDefault="00000000" w:rsidRPr="00000000" w14:paraId="00000002">
            <w:pPr>
              <w:bidi w:val="1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181d33" w:val="clear"/>
          </w:tcPr>
          <w:p w:rsidR="00000000" w:rsidDel="00000000" w:rsidP="00000000" w:rsidRDefault="00000000" w:rsidRPr="00000000" w14:paraId="00000003">
            <w:pPr>
              <w:bidi w:val="1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1d33" w:val="clear"/>
          </w:tcPr>
          <w:p w:rsidR="00000000" w:rsidDel="00000000" w:rsidP="00000000" w:rsidRDefault="00000000" w:rsidRPr="00000000" w14:paraId="00000005">
            <w:pPr>
              <w:bidi w:val="1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1d33" w:val="clear"/>
          </w:tcPr>
          <w:p w:rsidR="00000000" w:rsidDel="00000000" w:rsidP="00000000" w:rsidRDefault="00000000" w:rsidRPr="00000000" w14:paraId="00000006">
            <w:pPr>
              <w:bidi w:val="1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1d33" w:val="clear"/>
          </w:tcPr>
          <w:p w:rsidR="00000000" w:rsidDel="00000000" w:rsidP="00000000" w:rsidRDefault="00000000" w:rsidRPr="00000000" w14:paraId="00000007">
            <w:pPr>
              <w:bidi w:val="1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1d33" w:val="clear"/>
          </w:tcPr>
          <w:p w:rsidR="00000000" w:rsidDel="00000000" w:rsidP="00000000" w:rsidRDefault="00000000" w:rsidRPr="00000000" w14:paraId="00000008">
            <w:pPr>
              <w:bidi w:val="1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1d33" w:val="clear"/>
          </w:tcPr>
          <w:p w:rsidR="00000000" w:rsidDel="00000000" w:rsidP="00000000" w:rsidRDefault="00000000" w:rsidRPr="00000000" w14:paraId="00000009">
            <w:pPr>
              <w:bidi w:val="1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1d33" w:val="clear"/>
          </w:tcPr>
          <w:p w:rsidR="00000000" w:rsidDel="00000000" w:rsidP="00000000" w:rsidRDefault="00000000" w:rsidRPr="00000000" w14:paraId="0000000A">
            <w:pPr>
              <w:bidi w:val="1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1d33" w:val="clear"/>
          </w:tcPr>
          <w:p w:rsidR="00000000" w:rsidDel="00000000" w:rsidP="00000000" w:rsidRDefault="00000000" w:rsidRPr="00000000" w14:paraId="0000000B">
            <w:pPr>
              <w:bidi w:val="1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1d33" w:val="clear"/>
          </w:tcPr>
          <w:p w:rsidR="00000000" w:rsidDel="00000000" w:rsidP="00000000" w:rsidRDefault="00000000" w:rsidRPr="00000000" w14:paraId="0000000C">
            <w:pPr>
              <w:bidi w:val="1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181d33" w:val="clear"/>
          </w:tcPr>
          <w:p w:rsidR="00000000" w:rsidDel="00000000" w:rsidP="00000000" w:rsidRDefault="00000000" w:rsidRPr="00000000" w14:paraId="0000000D">
            <w:pPr>
              <w:bidi w:val="1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1d33" w:val="clear"/>
          </w:tcPr>
          <w:p w:rsidR="00000000" w:rsidDel="00000000" w:rsidP="00000000" w:rsidRDefault="00000000" w:rsidRPr="00000000" w14:paraId="0000000F">
            <w:pPr>
              <w:bidi w:val="1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1d33" w:val="clear"/>
          </w:tcPr>
          <w:p w:rsidR="00000000" w:rsidDel="00000000" w:rsidP="00000000" w:rsidRDefault="00000000" w:rsidRPr="00000000" w14:paraId="00000010">
            <w:pPr>
              <w:bidi w:val="1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1d33" w:val="clear"/>
          </w:tcPr>
          <w:p w:rsidR="00000000" w:rsidDel="00000000" w:rsidP="00000000" w:rsidRDefault="00000000" w:rsidRPr="00000000" w14:paraId="00000011">
            <w:pPr>
              <w:bidi w:val="1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1d33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dcea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1d33" w:val="clear"/>
          </w:tcPr>
          <w:p w:rsidR="00000000" w:rsidDel="00000000" w:rsidP="00000000" w:rsidRDefault="00000000" w:rsidRPr="00000000" w14:paraId="00000013">
            <w:pPr>
              <w:bidi w:val="1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1d33" w:val="clear"/>
          </w:tcPr>
          <w:p w:rsidR="00000000" w:rsidDel="00000000" w:rsidP="00000000" w:rsidRDefault="00000000" w:rsidRPr="00000000" w14:paraId="00000014">
            <w:pPr>
              <w:bidi w:val="1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1d33" w:val="clear"/>
          </w:tcPr>
          <w:p w:rsidR="00000000" w:rsidDel="00000000" w:rsidP="00000000" w:rsidRDefault="00000000" w:rsidRPr="00000000" w14:paraId="00000015">
            <w:pPr>
              <w:bidi w:val="1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1d33" w:val="clear"/>
          </w:tcPr>
          <w:p w:rsidR="00000000" w:rsidDel="00000000" w:rsidP="00000000" w:rsidRDefault="00000000" w:rsidRPr="00000000" w14:paraId="00000016">
            <w:pPr>
              <w:bidi w:val="1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81d33" w:val="clear"/>
          </w:tcPr>
          <w:p w:rsidR="00000000" w:rsidDel="00000000" w:rsidP="00000000" w:rsidRDefault="00000000" w:rsidRPr="00000000" w14:paraId="00000017">
            <w:pPr>
              <w:bidi w:val="1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hd w:fill="9de1ce" w:val="clear"/>
        <w:bidi w:val="1"/>
        <w:jc w:val="center"/>
        <w:rPr>
          <w:b w:val="1"/>
          <w:color w:val="31479e"/>
          <w:sz w:val="28"/>
          <w:szCs w:val="28"/>
        </w:rPr>
      </w:pPr>
      <w:r w:rsidDel="00000000" w:rsidR="00000000" w:rsidRPr="00000000">
        <w:rPr>
          <w:b w:val="1"/>
          <w:color w:val="31479e"/>
          <w:sz w:val="28"/>
          <w:szCs w:val="28"/>
          <w:rtl w:val="1"/>
        </w:rPr>
        <w:t xml:space="preserve">מסמך</w:t>
      </w:r>
      <w:r w:rsidDel="00000000" w:rsidR="00000000" w:rsidRPr="00000000">
        <w:rPr>
          <w:b w:val="1"/>
          <w:color w:val="31479e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31479e"/>
          <w:sz w:val="28"/>
          <w:szCs w:val="28"/>
          <w:rtl w:val="1"/>
        </w:rPr>
        <w:t xml:space="preserve">תכנון</w:t>
      </w:r>
      <w:r w:rsidDel="00000000" w:rsidR="00000000" w:rsidRPr="00000000">
        <w:rPr>
          <w:b w:val="1"/>
          <w:color w:val="31479e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31479e"/>
          <w:sz w:val="28"/>
          <w:szCs w:val="28"/>
          <w:rtl w:val="1"/>
        </w:rPr>
        <w:t xml:space="preserve">להחלת</w:t>
      </w:r>
      <w:r w:rsidDel="00000000" w:rsidR="00000000" w:rsidRPr="00000000">
        <w:rPr>
          <w:b w:val="1"/>
          <w:color w:val="31479e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31479e"/>
          <w:sz w:val="28"/>
          <w:szCs w:val="28"/>
          <w:rtl w:val="1"/>
        </w:rPr>
        <w:t xml:space="preserve">מטלה</w:t>
      </w:r>
      <w:r w:rsidDel="00000000" w:rsidR="00000000" w:rsidRPr="00000000">
        <w:rPr>
          <w:b w:val="1"/>
          <w:color w:val="31479e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31479e"/>
          <w:sz w:val="28"/>
          <w:szCs w:val="28"/>
          <w:rtl w:val="1"/>
        </w:rPr>
        <w:t xml:space="preserve">מבוקרת</w:t>
      </w:r>
      <w:r w:rsidDel="00000000" w:rsidR="00000000" w:rsidRPr="00000000">
        <w:rPr>
          <w:b w:val="1"/>
          <w:color w:val="31479e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31479e"/>
          <w:sz w:val="28"/>
          <w:szCs w:val="28"/>
          <w:rtl w:val="1"/>
        </w:rPr>
        <w:t xml:space="preserve">על</w:t>
      </w:r>
      <w:r w:rsidDel="00000000" w:rsidR="00000000" w:rsidRPr="00000000">
        <w:rPr>
          <w:b w:val="1"/>
          <w:color w:val="31479e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31479e"/>
          <w:sz w:val="28"/>
          <w:szCs w:val="28"/>
          <w:rtl w:val="1"/>
        </w:rPr>
        <w:t xml:space="preserve">תוכן</w:t>
      </w:r>
      <w:r w:rsidDel="00000000" w:rsidR="00000000" w:rsidRPr="00000000">
        <w:rPr>
          <w:b w:val="1"/>
          <w:color w:val="31479e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31479e"/>
          <w:sz w:val="28"/>
          <w:szCs w:val="28"/>
          <w:rtl w:val="1"/>
        </w:rPr>
        <w:t xml:space="preserve">מסוים</w:t>
      </w:r>
    </w:p>
    <w:p w:rsidR="00000000" w:rsidDel="00000000" w:rsidP="00000000" w:rsidRDefault="00000000" w:rsidRPr="00000000" w14:paraId="00000019">
      <w:pPr>
        <w:shd w:fill="9de1ce" w:val="clear"/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5030.0" w:type="dxa"/>
        <w:jc w:val="left"/>
        <w:tblInd w:w="-9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150"/>
        <w:gridCol w:w="840"/>
        <w:gridCol w:w="975"/>
        <w:gridCol w:w="2550"/>
        <w:gridCol w:w="1650"/>
        <w:gridCol w:w="1875"/>
        <w:gridCol w:w="1440"/>
        <w:gridCol w:w="1215"/>
        <w:gridCol w:w="1365"/>
        <w:gridCol w:w="2085"/>
        <w:tblGridChange w:id="0">
          <w:tblGrid>
            <w:gridCol w:w="885"/>
            <w:gridCol w:w="150"/>
            <w:gridCol w:w="840"/>
            <w:gridCol w:w="975"/>
            <w:gridCol w:w="2550"/>
            <w:gridCol w:w="1650"/>
            <w:gridCol w:w="1875"/>
            <w:gridCol w:w="1440"/>
            <w:gridCol w:w="1215"/>
            <w:gridCol w:w="1365"/>
            <w:gridCol w:w="20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81d3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דוגמאות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81d3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שם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המשימה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המבוקרת</w:t>
            </w:r>
          </w:p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81d3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הפרק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שעליו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נעשית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המשימה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המבוקרת</w:t>
            </w:r>
          </w:p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81d3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האם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המורה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מחליט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על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הנושא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או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השאלה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הגדולה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שתעמוד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בבסיס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המשימה</w:t>
            </w:r>
            <w:r w:rsidDel="00000000" w:rsidR="00000000" w:rsidRPr="00000000">
              <w:rPr>
                <w:color w:val="5dceaf"/>
                <w:rtl w:val="1"/>
              </w:rPr>
              <w:t xml:space="preserve">?/ </w:t>
            </w:r>
            <w:r w:rsidDel="00000000" w:rsidR="00000000" w:rsidRPr="00000000">
              <w:rPr>
                <w:color w:val="5dceaf"/>
                <w:rtl w:val="1"/>
              </w:rPr>
              <w:t xml:space="preserve">מהן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ההצעות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לנושאים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או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שאלות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גדולות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שהמורה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יתן</w:t>
            </w:r>
            <w:r w:rsidDel="00000000" w:rsidR="00000000" w:rsidRPr="00000000">
              <w:rPr>
                <w:color w:val="5dceaf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rPr>
                <w:color w:val="5dceaf"/>
              </w:rPr>
            </w:pPr>
            <w:hyperlink r:id="rId7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ניתן</w:t>
              </w:r>
            </w:hyperlink>
            <w:hyperlink r:id="rId8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להעזר</w:t>
              </w:r>
            </w:hyperlink>
            <w:hyperlink r:id="rId10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בדוגמאות</w:t>
              </w:r>
            </w:hyperlink>
            <w:hyperlink r:id="rId12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לשאלות</w:t>
              </w:r>
            </w:hyperlink>
            <w:hyperlink r:id="rId14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גדולות</w:t>
              </w:r>
            </w:hyperlink>
            <w:hyperlink r:id="rId16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במסמך</w:t>
              </w:r>
            </w:hyperlink>
            <w:hyperlink r:id="rId18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זה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81d3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מהן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ההכנות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שהמורה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צריך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לעשות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לפני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הצגת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המטלה</w:t>
            </w:r>
            <w:r w:rsidDel="00000000" w:rsidR="00000000" w:rsidRPr="00000000">
              <w:rPr>
                <w:color w:val="5dceaf"/>
                <w:rtl w:val="1"/>
              </w:rPr>
              <w:t xml:space="preserve">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81d3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מהם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המקורות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שיש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ללמד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כהקדמה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למשימה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בכיתה</w:t>
            </w:r>
            <w:r w:rsidDel="00000000" w:rsidR="00000000" w:rsidRPr="00000000">
              <w:rPr>
                <w:color w:val="5dceaf"/>
                <w:rtl w:val="1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81d3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מהן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המיומניות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שיש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להקנות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בכיתה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כהקדמה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למשימה</w:t>
            </w:r>
            <w:r w:rsidDel="00000000" w:rsidR="00000000" w:rsidRPr="00000000">
              <w:rPr>
                <w:color w:val="5dceaf"/>
                <w:rtl w:val="1"/>
              </w:rPr>
              <w:t xml:space="preserve">? </w:t>
            </w:r>
          </w:p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rPr>
                <w:color w:val="5dceaf"/>
              </w:rPr>
            </w:pPr>
            <w:hyperlink r:id="rId20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העזרו</w:t>
              </w:r>
            </w:hyperlink>
            <w:hyperlink r:id="rId21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במסמך</w:t>
              </w:r>
            </w:hyperlink>
            <w:hyperlink r:id="rId23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אסטרטגיות</w:t>
              </w:r>
            </w:hyperlink>
            <w:hyperlink r:id="rId25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החשיבה</w:t>
              </w:r>
            </w:hyperlink>
            <w:hyperlink r:id="rId27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של</w:t>
              </w:r>
            </w:hyperlink>
            <w:hyperlink r:id="rId29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משרד</w:t>
              </w:r>
            </w:hyperlink>
            <w:hyperlink r:id="rId31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 </w:t>
              </w:r>
            </w:hyperlink>
            <w:hyperlink r:id="rId32">
              <w:r w:rsidDel="00000000" w:rsidR="00000000" w:rsidRPr="00000000">
                <w:rPr>
                  <w:color w:val="5dceaf"/>
                  <w:u w:val="single"/>
                  <w:rtl w:val="1"/>
                </w:rPr>
                <w:t xml:space="preserve">החינוך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81d3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האם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ישנם</w:t>
            </w:r>
            <w:r w:rsidDel="00000000" w:rsidR="00000000" w:rsidRPr="00000000">
              <w:rPr>
                <w:color w:val="5dceaf"/>
                <w:rtl w:val="1"/>
              </w:rPr>
              <w:t xml:space="preserve">, </w:t>
            </w:r>
            <w:r w:rsidDel="00000000" w:rsidR="00000000" w:rsidRPr="00000000">
              <w:rPr>
                <w:color w:val="5dceaf"/>
                <w:rtl w:val="1"/>
              </w:rPr>
              <w:t xml:space="preserve">ומהם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המקורות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מחוץ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לתכנית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הלימודים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שהמורה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ירצה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להציג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לתלמידים</w:t>
            </w:r>
            <w:r w:rsidDel="00000000" w:rsidR="00000000" w:rsidRPr="00000000">
              <w:rPr>
                <w:color w:val="5dceaf"/>
                <w:rtl w:val="1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81d3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מהם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המקורות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שהתלמידים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ילמדו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באופן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עצמאי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או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קבוצתי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כחלק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מהמשימה</w:t>
            </w:r>
            <w:r w:rsidDel="00000000" w:rsidR="00000000" w:rsidRPr="00000000">
              <w:rPr>
                <w:color w:val="5dceaf"/>
                <w:rtl w:val="1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81d3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מהם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האתגרים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הצפויים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לאורך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המשימה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וכיצד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ניתן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להתמודד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איתם</w:t>
            </w:r>
            <w:r w:rsidDel="00000000" w:rsidR="00000000" w:rsidRPr="00000000">
              <w:rPr>
                <w:color w:val="5dceaf"/>
                <w:rtl w:val="1"/>
              </w:rPr>
              <w:t xml:space="preserve">?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81d3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81d3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הכנת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דף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לימוד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81d3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פרק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רביעי</w:t>
            </w:r>
            <w:r w:rsidDel="00000000" w:rsidR="00000000" w:rsidRPr="00000000">
              <w:rPr>
                <w:color w:val="5dceaf"/>
                <w:rtl w:val="1"/>
              </w:rPr>
              <w:t xml:space="preserve"> "</w:t>
            </w:r>
            <w:r w:rsidDel="00000000" w:rsidR="00000000" w:rsidRPr="00000000">
              <w:rPr>
                <w:color w:val="5dceaf"/>
                <w:rtl w:val="1"/>
              </w:rPr>
              <w:t xml:space="preserve">אמונה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בשעת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משבר</w:t>
            </w:r>
            <w:r w:rsidDel="00000000" w:rsidR="00000000" w:rsidRPr="00000000">
              <w:rPr>
                <w:color w:val="5dceaf"/>
                <w:rtl w:val="1"/>
              </w:rPr>
              <w:t xml:space="preserve">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81d3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המורה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יציג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מאגר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הצעות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והתלמידים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יבחרו</w:t>
            </w:r>
            <w:r w:rsidDel="00000000" w:rsidR="00000000" w:rsidRPr="00000000">
              <w:rPr>
                <w:color w:val="5dceaf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bidi w:val="1"/>
              <w:spacing w:after="0" w:line="240" w:lineRule="auto"/>
              <w:ind w:left="720" w:hanging="360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מהן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דרכי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ההתמודדות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האדם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המאמין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עם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משבר</w:t>
            </w:r>
            <w:r w:rsidDel="00000000" w:rsidR="00000000" w:rsidRPr="00000000">
              <w:rPr>
                <w:color w:val="5dceaf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bidi w:val="1"/>
              <w:spacing w:after="0" w:line="240" w:lineRule="auto"/>
              <w:ind w:left="720" w:hanging="360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האם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ולפי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אילו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תבחינים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ניתן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לחלק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הדרכים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בהגות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היהודית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להתמודדות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עם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משבר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לקבוצות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מרכזיות</w:t>
            </w:r>
            <w:r w:rsidDel="00000000" w:rsidR="00000000" w:rsidRPr="00000000">
              <w:rPr>
                <w:color w:val="5dceaf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bidi w:val="1"/>
              <w:spacing w:after="0" w:line="240" w:lineRule="auto"/>
              <w:ind w:left="720" w:hanging="360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מהם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הערכים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המרכזיים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שעומדים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אחרי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התשובות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השונים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ההוגים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לשאלת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ההתמודדות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עם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הסבל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בעולם</w:t>
            </w:r>
            <w:r w:rsidDel="00000000" w:rsidR="00000000" w:rsidRPr="00000000">
              <w:rPr>
                <w:color w:val="5dceaf"/>
                <w:rtl w:val="1"/>
              </w:rPr>
              <w:t xml:space="preserve">? 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bidi w:val="1"/>
              <w:spacing w:after="0" w:line="240" w:lineRule="auto"/>
              <w:ind w:left="720" w:hanging="360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האם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וכיצד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ניתן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ליישם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התשובות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השונות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שאינן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מתמודדות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עם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שאלת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הצדק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האלוקי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בשואה</w:t>
            </w:r>
            <w:r w:rsidDel="00000000" w:rsidR="00000000" w:rsidRPr="00000000">
              <w:rPr>
                <w:color w:val="5dceaf"/>
                <w:rtl w:val="1"/>
              </w:rPr>
              <w:t xml:space="preserve">, </w:t>
            </w:r>
            <w:r w:rsidDel="00000000" w:rsidR="00000000" w:rsidRPr="00000000">
              <w:rPr>
                <w:color w:val="5dceaf"/>
                <w:rtl w:val="1"/>
              </w:rPr>
              <w:t xml:space="preserve">בהתמודדותנו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כמאמינים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עם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השואה</w:t>
            </w:r>
            <w:r w:rsidDel="00000000" w:rsidR="00000000" w:rsidRPr="00000000">
              <w:rPr>
                <w:color w:val="5dceaf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bidi w:val="1"/>
              <w:spacing w:after="0" w:line="240" w:lineRule="auto"/>
              <w:ind w:left="720" w:hanging="360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מה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המשמעות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תפיסת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הקשיים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כניסיון</w:t>
            </w:r>
            <w:r w:rsidDel="00000000" w:rsidR="00000000" w:rsidRPr="00000000">
              <w:rPr>
                <w:color w:val="5dceaf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81d3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המורה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יכיר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המשימה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היטב</w:t>
            </w:r>
          </w:p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bidi w:val="1"/>
              <w:ind w:left="720" w:hanging="360"/>
              <w:rPr>
                <w:rFonts w:ascii="Calibri" w:cs="Calibri" w:eastAsia="Calibri" w:hAnsi="Calibri"/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המורה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יבדוק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שאכן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יש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מחשב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עם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חיבור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יציב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לאינטרנט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לכל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תלמיד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לשעה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שבה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מתקיים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השיעור</w:t>
            </w:r>
            <w:r w:rsidDel="00000000" w:rsidR="00000000" w:rsidRPr="00000000">
              <w:rPr>
                <w:color w:val="5dceaf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81d3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אם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בחרנו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בשאלה</w:t>
            </w:r>
            <w:r w:rsidDel="00000000" w:rsidR="00000000" w:rsidRPr="00000000">
              <w:rPr>
                <w:color w:val="5dceaf"/>
                <w:rtl w:val="1"/>
              </w:rPr>
              <w:t xml:space="preserve"> "</w:t>
            </w:r>
            <w:r w:rsidDel="00000000" w:rsidR="00000000" w:rsidRPr="00000000">
              <w:rPr>
                <w:color w:val="5dceaf"/>
                <w:rtl w:val="1"/>
              </w:rPr>
              <w:t xml:space="preserve">כיצד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על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האדם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המאמין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להתמודד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עם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השואה</w:t>
            </w:r>
            <w:r w:rsidDel="00000000" w:rsidR="00000000" w:rsidRPr="00000000">
              <w:rPr>
                <w:color w:val="5dceaf"/>
                <w:rtl w:val="1"/>
              </w:rPr>
              <w:t xml:space="preserve">?" </w:t>
            </w:r>
            <w:r w:rsidDel="00000000" w:rsidR="00000000" w:rsidRPr="00000000">
              <w:rPr>
                <w:color w:val="5dceaf"/>
                <w:rtl w:val="1"/>
              </w:rPr>
              <w:t xml:space="preserve">המורה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ילמד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המקורות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הרב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ברקוביץ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והרב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סולוביצ</w:t>
            </w:r>
            <w:r w:rsidDel="00000000" w:rsidR="00000000" w:rsidRPr="00000000">
              <w:rPr>
                <w:color w:val="5dceaf"/>
                <w:rtl w:val="1"/>
              </w:rPr>
              <w:t xml:space="preserve">'</w:t>
            </w:r>
            <w:r w:rsidDel="00000000" w:rsidR="00000000" w:rsidRPr="00000000">
              <w:rPr>
                <w:color w:val="5dceaf"/>
                <w:rtl w:val="1"/>
              </w:rPr>
              <w:t xml:space="preserve">יק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כיוון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שאילו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מקורות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בסיסיים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וקשים</w:t>
            </w:r>
            <w:r w:rsidDel="00000000" w:rsidR="00000000" w:rsidRPr="00000000">
              <w:rPr>
                <w:color w:val="5dceaf"/>
                <w:rtl w:val="1"/>
              </w:rPr>
              <w:t xml:space="preserve">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81d3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המורה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ילמד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תלמידים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דרך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המקורות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הרב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ברקוביץ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והרב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סולוביצ</w:t>
            </w:r>
            <w:r w:rsidDel="00000000" w:rsidR="00000000" w:rsidRPr="00000000">
              <w:rPr>
                <w:color w:val="5dceaf"/>
                <w:rtl w:val="1"/>
              </w:rPr>
              <w:t xml:space="preserve">'</w:t>
            </w:r>
            <w:r w:rsidDel="00000000" w:rsidR="00000000" w:rsidRPr="00000000">
              <w:rPr>
                <w:color w:val="5dceaf"/>
                <w:rtl w:val="1"/>
              </w:rPr>
              <w:t xml:space="preserve">יק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כיצד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קוראים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מקור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באופן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מעמיק</w:t>
            </w:r>
            <w:r w:rsidDel="00000000" w:rsidR="00000000" w:rsidRPr="00000000">
              <w:rPr>
                <w:color w:val="5dceaf"/>
                <w:rtl w:val="1"/>
              </w:rPr>
              <w:t xml:space="preserve">, </w:t>
            </w:r>
            <w:r w:rsidDel="00000000" w:rsidR="00000000" w:rsidRPr="00000000">
              <w:rPr>
                <w:color w:val="5dceaf"/>
                <w:rtl w:val="1"/>
              </w:rPr>
              <w:t xml:space="preserve">ומוצאים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הדילמות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והערכים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שהוא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מייצג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גם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כאשר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לא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נאמרים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באופן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מפורש</w:t>
            </w:r>
            <w:r w:rsidDel="00000000" w:rsidR="00000000" w:rsidRPr="00000000">
              <w:rPr>
                <w:color w:val="5dceaf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81d3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המורה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יוכל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להציע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המאמר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הרב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צבי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יהודה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הכהן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קוק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על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ההתייחסות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לשואה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ממבט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אמוני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וכן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התייחסותו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הרב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יהודה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עמיטל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לבחינת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השואה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מזווית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אמונית</w:t>
            </w:r>
            <w:r w:rsidDel="00000000" w:rsidR="00000000" w:rsidRPr="00000000">
              <w:rPr>
                <w:color w:val="5dceaf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81d3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המורה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יתן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לבחירה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לימוד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שלושה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מקורות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נוספים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מהפרק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העוסקים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בהתמודדות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האדם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המאמין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עם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בעיית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הרע</w:t>
            </w:r>
            <w:r w:rsidDel="00000000" w:rsidR="00000000" w:rsidRPr="00000000">
              <w:rPr>
                <w:color w:val="5dceaf"/>
                <w:rtl w:val="1"/>
              </w:rPr>
              <w:t xml:space="preserve">, </w:t>
            </w:r>
            <w:r w:rsidDel="00000000" w:rsidR="00000000" w:rsidRPr="00000000">
              <w:rPr>
                <w:color w:val="5dceaf"/>
                <w:rtl w:val="1"/>
              </w:rPr>
              <w:t xml:space="preserve">ללימוד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עצמי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בחברותות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וליישום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על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התמודדות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עם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השואה</w:t>
            </w:r>
            <w:r w:rsidDel="00000000" w:rsidR="00000000" w:rsidRPr="00000000">
              <w:rPr>
                <w:color w:val="5dceaf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81d3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rPr>
                <w:color w:val="5dceaf"/>
              </w:rPr>
            </w:pPr>
            <w:r w:rsidDel="00000000" w:rsidR="00000000" w:rsidRPr="00000000">
              <w:rPr>
                <w:color w:val="5dceaf"/>
                <w:rtl w:val="1"/>
              </w:rPr>
              <w:t xml:space="preserve">אי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הגשת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שלבי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העבודה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השונים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בזמן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מאתגרת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המורה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בבדיקה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אין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סופית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וחסרת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קו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אחיד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ופוגעת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בתלמיד</w:t>
            </w:r>
            <w:r w:rsidDel="00000000" w:rsidR="00000000" w:rsidRPr="00000000">
              <w:rPr>
                <w:color w:val="5dceaf"/>
                <w:rtl w:val="1"/>
              </w:rPr>
              <w:t xml:space="preserve">. </w:t>
            </w:r>
            <w:r w:rsidDel="00000000" w:rsidR="00000000" w:rsidRPr="00000000">
              <w:rPr>
                <w:color w:val="5dceaf"/>
                <w:rtl w:val="1"/>
              </w:rPr>
              <w:t xml:space="preserve">אפשרות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להתמודדות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היא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הסבר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מתן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ציון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ארבעים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אחוז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על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תהליך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העבודה</w:t>
            </w:r>
            <w:r w:rsidDel="00000000" w:rsidR="00000000" w:rsidRPr="00000000">
              <w:rPr>
                <w:color w:val="5dceaf"/>
                <w:rtl w:val="1"/>
              </w:rPr>
              <w:t xml:space="preserve">. </w:t>
            </w:r>
            <w:r w:rsidDel="00000000" w:rsidR="00000000" w:rsidRPr="00000000">
              <w:rPr>
                <w:color w:val="5dceaf"/>
                <w:rtl w:val="1"/>
              </w:rPr>
              <w:t xml:space="preserve">לא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ניתן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לתת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העבודה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בשלב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הסופי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בלי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שקדמו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לו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השלבים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השונים</w:t>
            </w:r>
            <w:r w:rsidDel="00000000" w:rsidR="00000000" w:rsidRPr="00000000">
              <w:rPr>
                <w:color w:val="5dceaf"/>
                <w:rtl w:val="1"/>
              </w:rPr>
              <w:t xml:space="preserve">. </w:t>
            </w:r>
            <w:r w:rsidDel="00000000" w:rsidR="00000000" w:rsidRPr="00000000">
              <w:rPr>
                <w:color w:val="5dceaf"/>
                <w:rtl w:val="1"/>
              </w:rPr>
              <w:t xml:space="preserve">התאריכים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אמורים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להיות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ידועים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מראש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לתלמידים</w:t>
            </w:r>
            <w:r w:rsidDel="00000000" w:rsidR="00000000" w:rsidRPr="00000000">
              <w:rPr>
                <w:color w:val="5dceaf"/>
                <w:rtl w:val="1"/>
              </w:rPr>
              <w:t xml:space="preserve">. </w:t>
            </w:r>
            <w:r w:rsidDel="00000000" w:rsidR="00000000" w:rsidRPr="00000000">
              <w:rPr>
                <w:color w:val="5dceaf"/>
                <w:rtl w:val="1"/>
              </w:rPr>
              <w:t xml:space="preserve">בכל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מקרה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איחור</w:t>
            </w:r>
            <w:r w:rsidDel="00000000" w:rsidR="00000000" w:rsidRPr="00000000">
              <w:rPr>
                <w:color w:val="5dceaf"/>
                <w:rtl w:val="1"/>
              </w:rPr>
              <w:t xml:space="preserve">  </w:t>
            </w:r>
            <w:r w:rsidDel="00000000" w:rsidR="00000000" w:rsidRPr="00000000">
              <w:rPr>
                <w:color w:val="5dceaf"/>
                <w:rtl w:val="1"/>
              </w:rPr>
              <w:t xml:space="preserve">המורה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יכול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להחליט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על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בדיקה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מאוחרת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במועד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אחד</w:t>
            </w:r>
            <w:r w:rsidDel="00000000" w:rsidR="00000000" w:rsidRPr="00000000">
              <w:rPr>
                <w:color w:val="5dceaf"/>
                <w:rtl w:val="1"/>
              </w:rPr>
              <w:t xml:space="preserve">, </w:t>
            </w:r>
            <w:r w:rsidDel="00000000" w:rsidR="00000000" w:rsidRPr="00000000">
              <w:rPr>
                <w:color w:val="5dceaf"/>
                <w:rtl w:val="1"/>
              </w:rPr>
              <w:t xml:space="preserve">של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כל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המאחרים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שתבוא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לידי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ביטוי</w:t>
            </w:r>
            <w:r w:rsidDel="00000000" w:rsidR="00000000" w:rsidRPr="00000000">
              <w:rPr>
                <w:color w:val="5dceaf"/>
                <w:rtl w:val="1"/>
              </w:rPr>
              <w:t xml:space="preserve"> </w:t>
            </w:r>
            <w:r w:rsidDel="00000000" w:rsidR="00000000" w:rsidRPr="00000000">
              <w:rPr>
                <w:color w:val="5dceaf"/>
                <w:rtl w:val="1"/>
              </w:rPr>
              <w:t xml:space="preserve">בציון</w:t>
            </w:r>
            <w:r w:rsidDel="00000000" w:rsidR="00000000" w:rsidRPr="00000000">
              <w:rPr>
                <w:color w:val="5dceaf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44">
      <w:pPr>
        <w:bidi w:val="1"/>
        <w:rPr>
          <w:b w:val="1"/>
          <w:color w:val="31479e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33" w:type="default"/>
      <w:pgSz w:h="11906" w:w="16838" w:orient="landscape"/>
      <w:pgMar w:bottom="1800" w:top="180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BE3E9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BE3E97"/>
    <w:pPr>
      <w:tabs>
        <w:tab w:val="center" w:pos="4153"/>
        <w:tab w:val="right" w:pos="8306"/>
      </w:tabs>
      <w:spacing w:after="0" w:line="240" w:lineRule="auto"/>
    </w:pPr>
  </w:style>
  <w:style w:type="character" w:styleId="a5" w:customStyle="1">
    <w:name w:val="כותרת עליונה תו"/>
    <w:basedOn w:val="a0"/>
    <w:link w:val="a4"/>
    <w:uiPriority w:val="99"/>
    <w:rsid w:val="00BE3E97"/>
  </w:style>
  <w:style w:type="paragraph" w:styleId="a6">
    <w:name w:val="footer"/>
    <w:basedOn w:val="a"/>
    <w:link w:val="a7"/>
    <w:uiPriority w:val="99"/>
    <w:unhideWhenUsed w:val="1"/>
    <w:rsid w:val="00BE3E97"/>
    <w:pPr>
      <w:tabs>
        <w:tab w:val="center" w:pos="4153"/>
        <w:tab w:val="right" w:pos="8306"/>
      </w:tabs>
      <w:spacing w:after="0" w:line="240" w:lineRule="auto"/>
    </w:pPr>
  </w:style>
  <w:style w:type="character" w:styleId="a7" w:customStyle="1">
    <w:name w:val="כותרת תחתונה תו"/>
    <w:basedOn w:val="a0"/>
    <w:link w:val="a6"/>
    <w:uiPriority w:val="99"/>
    <w:rsid w:val="00BE3E97"/>
  </w:style>
  <w:style w:type="character" w:styleId="Hyperlink">
    <w:name w:val="Hyperlink"/>
    <w:basedOn w:val="a0"/>
    <w:uiPriority w:val="99"/>
    <w:unhideWhenUsed w:val="1"/>
    <w:rsid w:val="00F36493"/>
    <w:rPr>
      <w:color w:val="56c7aa" w:themeColor="hyperlink"/>
      <w:u w:val="single"/>
    </w:rPr>
  </w:style>
  <w:style w:type="character" w:styleId="a8">
    <w:name w:val="Unresolved Mention"/>
    <w:basedOn w:val="a0"/>
    <w:uiPriority w:val="99"/>
    <w:semiHidden w:val="1"/>
    <w:unhideWhenUsed w:val="1"/>
    <w:rsid w:val="00F36493"/>
    <w:rPr>
      <w:color w:val="605e5c"/>
      <w:shd w:color="auto" w:fill="e1dfdd" w:val="clear"/>
    </w:rPr>
  </w:style>
  <w:style w:type="paragraph" w:styleId="a9">
    <w:name w:val="List Paragraph"/>
    <w:basedOn w:val="a"/>
    <w:uiPriority w:val="34"/>
    <w:qFormat w:val="1"/>
    <w:rsid w:val="008E5CA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tatic.lnet.org.il/DEV/misrad_hachinuch/Strategies2/story_html5.html" TargetMode="External"/><Relationship Id="rId22" Type="http://schemas.openxmlformats.org/officeDocument/2006/relationships/hyperlink" Target="https://static.lnet.org.il/DEV/misrad_hachinuch/Strategies2/story_html5.html" TargetMode="External"/><Relationship Id="rId21" Type="http://schemas.openxmlformats.org/officeDocument/2006/relationships/hyperlink" Target="https://static.lnet.org.il/DEV/misrad_hachinuch/Strategies2/story_html5.html" TargetMode="External"/><Relationship Id="rId24" Type="http://schemas.openxmlformats.org/officeDocument/2006/relationships/hyperlink" Target="https://static.lnet.org.il/DEV/misrad_hachinuch/Strategies2/story_html5.html" TargetMode="External"/><Relationship Id="rId23" Type="http://schemas.openxmlformats.org/officeDocument/2006/relationships/hyperlink" Target="https://static.lnet.org.il/DEV/misrad_hachinuch/Strategies2/story_html5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EC7RNwsf08BSwbJrGCia6nEbhNbwVRGo/edit" TargetMode="External"/><Relationship Id="rId26" Type="http://schemas.openxmlformats.org/officeDocument/2006/relationships/hyperlink" Target="https://static.lnet.org.il/DEV/misrad_hachinuch/Strategies2/story_html5.html" TargetMode="External"/><Relationship Id="rId25" Type="http://schemas.openxmlformats.org/officeDocument/2006/relationships/hyperlink" Target="https://static.lnet.org.il/DEV/misrad_hachinuch/Strategies2/story_html5.html" TargetMode="External"/><Relationship Id="rId28" Type="http://schemas.openxmlformats.org/officeDocument/2006/relationships/hyperlink" Target="https://static.lnet.org.il/DEV/misrad_hachinuch/Strategies2/story_html5.html" TargetMode="External"/><Relationship Id="rId27" Type="http://schemas.openxmlformats.org/officeDocument/2006/relationships/hyperlink" Target="https://static.lnet.org.il/DEV/misrad_hachinuch/Strategies2/story_html5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static.lnet.org.il/DEV/misrad_hachinuch/Strategies2/story_html5.html" TargetMode="External"/><Relationship Id="rId7" Type="http://schemas.openxmlformats.org/officeDocument/2006/relationships/hyperlink" Target="https://docs.google.com/document/d/1EC7RNwsf08BSwbJrGCia6nEbhNbwVRGo/edit" TargetMode="External"/><Relationship Id="rId8" Type="http://schemas.openxmlformats.org/officeDocument/2006/relationships/hyperlink" Target="https://docs.google.com/document/d/1EC7RNwsf08BSwbJrGCia6nEbhNbwVRGo/edit" TargetMode="External"/><Relationship Id="rId31" Type="http://schemas.openxmlformats.org/officeDocument/2006/relationships/hyperlink" Target="https://static.lnet.org.il/DEV/misrad_hachinuch/Strategies2/story_html5.html" TargetMode="External"/><Relationship Id="rId30" Type="http://schemas.openxmlformats.org/officeDocument/2006/relationships/hyperlink" Target="https://static.lnet.org.il/DEV/misrad_hachinuch/Strategies2/story_html5.html" TargetMode="External"/><Relationship Id="rId11" Type="http://schemas.openxmlformats.org/officeDocument/2006/relationships/hyperlink" Target="https://docs.google.com/document/d/1EC7RNwsf08BSwbJrGCia6nEbhNbwVRGo/edit" TargetMode="External"/><Relationship Id="rId33" Type="http://schemas.openxmlformats.org/officeDocument/2006/relationships/header" Target="header1.xml"/><Relationship Id="rId10" Type="http://schemas.openxmlformats.org/officeDocument/2006/relationships/hyperlink" Target="https://docs.google.com/document/d/1EC7RNwsf08BSwbJrGCia6nEbhNbwVRGo/edit" TargetMode="External"/><Relationship Id="rId32" Type="http://schemas.openxmlformats.org/officeDocument/2006/relationships/hyperlink" Target="https://static.lnet.org.il/DEV/misrad_hachinuch/Strategies2/story_html5.html" TargetMode="External"/><Relationship Id="rId13" Type="http://schemas.openxmlformats.org/officeDocument/2006/relationships/hyperlink" Target="https://docs.google.com/document/d/1EC7RNwsf08BSwbJrGCia6nEbhNbwVRGo/edit" TargetMode="External"/><Relationship Id="rId12" Type="http://schemas.openxmlformats.org/officeDocument/2006/relationships/hyperlink" Target="https://docs.google.com/document/d/1EC7RNwsf08BSwbJrGCia6nEbhNbwVRGo/edit" TargetMode="External"/><Relationship Id="rId15" Type="http://schemas.openxmlformats.org/officeDocument/2006/relationships/hyperlink" Target="https://docs.google.com/document/d/1EC7RNwsf08BSwbJrGCia6nEbhNbwVRGo/edit" TargetMode="External"/><Relationship Id="rId14" Type="http://schemas.openxmlformats.org/officeDocument/2006/relationships/hyperlink" Target="https://docs.google.com/document/d/1EC7RNwsf08BSwbJrGCia6nEbhNbwVRGo/edit" TargetMode="External"/><Relationship Id="rId17" Type="http://schemas.openxmlformats.org/officeDocument/2006/relationships/hyperlink" Target="https://docs.google.com/document/d/1EC7RNwsf08BSwbJrGCia6nEbhNbwVRGo/edit" TargetMode="External"/><Relationship Id="rId16" Type="http://schemas.openxmlformats.org/officeDocument/2006/relationships/hyperlink" Target="https://docs.google.com/document/d/1EC7RNwsf08BSwbJrGCia6nEbhNbwVRGo/edit" TargetMode="External"/><Relationship Id="rId19" Type="http://schemas.openxmlformats.org/officeDocument/2006/relationships/hyperlink" Target="https://docs.google.com/document/d/1EC7RNwsf08BSwbJrGCia6nEbhNbwVRGo/edit" TargetMode="External"/><Relationship Id="rId18" Type="http://schemas.openxmlformats.org/officeDocument/2006/relationships/hyperlink" Target="https://docs.google.com/document/d/1EC7RNwsf08BSwbJrGCia6nEbhNbwVRGo/edit" TargetMode="External"/></Relationships>
</file>

<file path=word/theme/theme1.xml><?xml version="1.0" encoding="utf-8"?>
<a:theme xmlns:a="http://schemas.openxmlformats.org/drawingml/2006/main" name="ערכת נושא Office">
  <a:themeElements>
    <a:clrScheme name="זרם מדחף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xmwgjFtPfAIa+o9fZwJ87XkNUQ==">AMUW2mX+mjT0ZJ8/3SGPrYF+w9jaSNcDxySLlY0rYI9a1jr9uLplYAxjVUpvf7hE+lZgLcVsJD9iQkjyL9nGidDmNCw4/zQQ3nqWU9RyNuL1EP8Itc5ntkM=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2022-09-04T07:52:00Z</dcterms:created>
  <dc:creator>חנה  ריקלין</dc:creator>
</cp:coreProperties>
</file>